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6FC" w:rsidRPr="007376FC" w:rsidRDefault="007376FC" w:rsidP="007376FC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b/>
          <w:bCs/>
          <w:sz w:val="28"/>
          <w:szCs w:val="28"/>
        </w:rPr>
      </w:pPr>
      <w:proofErr w:type="gramStart"/>
      <w:r w:rsidRPr="007376FC">
        <w:rPr>
          <w:rFonts w:ascii="TimesNewRoman" w:hAnsi="TimesNewRoman" w:cs="TimesNewRoman"/>
          <w:b/>
          <w:bCs/>
          <w:sz w:val="28"/>
          <w:szCs w:val="28"/>
        </w:rPr>
        <w:t>From the Local Rules for the United States Bankruptcy Court for the Southern District of New York.</w:t>
      </w:r>
      <w:proofErr w:type="gramEnd"/>
    </w:p>
    <w:p w:rsidR="007376FC" w:rsidRPr="007376FC" w:rsidRDefault="007376FC" w:rsidP="007376FC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b/>
          <w:bCs/>
          <w:sz w:val="28"/>
          <w:szCs w:val="28"/>
        </w:rPr>
      </w:pPr>
    </w:p>
    <w:p w:rsidR="007376FC" w:rsidRPr="007376FC" w:rsidRDefault="007376FC" w:rsidP="007376FC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b/>
          <w:bCs/>
          <w:sz w:val="28"/>
          <w:szCs w:val="28"/>
        </w:rPr>
      </w:pPr>
    </w:p>
    <w:p w:rsidR="007376FC" w:rsidRPr="007376FC" w:rsidRDefault="007376FC" w:rsidP="007376FC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b/>
          <w:bCs/>
          <w:sz w:val="28"/>
          <w:szCs w:val="28"/>
        </w:rPr>
      </w:pPr>
      <w:r w:rsidRPr="007376FC">
        <w:rPr>
          <w:rFonts w:ascii="TimesNewRoman" w:hAnsi="TimesNewRoman" w:cs="TimesNewRoman"/>
          <w:b/>
          <w:bCs/>
          <w:sz w:val="28"/>
          <w:szCs w:val="28"/>
        </w:rPr>
        <w:t xml:space="preserve">Rule 7056-1 SUMMARY </w:t>
      </w:r>
      <w:proofErr w:type="gramStart"/>
      <w:r w:rsidRPr="007376FC">
        <w:rPr>
          <w:rFonts w:ascii="TimesNewRoman" w:hAnsi="TimesNewRoman" w:cs="TimesNewRoman"/>
          <w:b/>
          <w:bCs/>
          <w:sz w:val="28"/>
          <w:szCs w:val="28"/>
        </w:rPr>
        <w:t>JUDGMENT</w:t>
      </w:r>
      <w:proofErr w:type="gramEnd"/>
    </w:p>
    <w:p w:rsidR="007376FC" w:rsidRPr="007376FC" w:rsidRDefault="007376FC" w:rsidP="007376FC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b/>
          <w:bCs/>
          <w:sz w:val="28"/>
          <w:szCs w:val="28"/>
        </w:rPr>
      </w:pPr>
    </w:p>
    <w:p w:rsidR="007376FC" w:rsidRPr="007376FC" w:rsidRDefault="007376FC" w:rsidP="007376FC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  <w:r w:rsidRPr="007376FC">
        <w:rPr>
          <w:rFonts w:ascii="TimesNewRoman" w:hAnsi="TimesNewRoman" w:cs="TimesNewRoman"/>
          <w:sz w:val="28"/>
          <w:szCs w:val="28"/>
        </w:rPr>
        <w:t>(a) Unless the Court orders otherwise, no party shall file a motion for summary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7376FC">
        <w:rPr>
          <w:rFonts w:ascii="TimesNewRoman" w:hAnsi="TimesNewRoman" w:cs="TimesNewRoman"/>
          <w:sz w:val="28"/>
          <w:szCs w:val="28"/>
        </w:rPr>
        <w:t>judgment without first seeking a pre-motion conference. The request for a pre-motion conference shall be</w:t>
      </w:r>
      <w:r w:rsidRPr="007376FC">
        <w:rPr>
          <w:rFonts w:ascii="TimesNewRoman" w:hAnsi="TimesNewRoman" w:cs="TimesNewRoman"/>
          <w:sz w:val="28"/>
          <w:szCs w:val="28"/>
        </w:rPr>
        <w:t xml:space="preserve"> </w:t>
      </w:r>
      <w:r w:rsidRPr="007376FC">
        <w:rPr>
          <w:rFonts w:ascii="TimesNewRoman" w:hAnsi="TimesNewRoman" w:cs="TimesNewRoman"/>
          <w:sz w:val="28"/>
          <w:szCs w:val="28"/>
        </w:rPr>
        <w:t>made by letter, filed on the CM/ECF system, setting forth the issues to be presented in the motion and the</w:t>
      </w:r>
      <w:r w:rsidRPr="007376FC">
        <w:rPr>
          <w:rFonts w:ascii="TimesNewRoman" w:hAnsi="TimesNewRoman" w:cs="TimesNewRoman"/>
          <w:sz w:val="28"/>
          <w:szCs w:val="28"/>
        </w:rPr>
        <w:t xml:space="preserve"> </w:t>
      </w:r>
      <w:r w:rsidRPr="007376FC">
        <w:rPr>
          <w:rFonts w:ascii="TimesNewRoman" w:hAnsi="TimesNewRoman" w:cs="TimesNewRoman"/>
          <w:sz w:val="28"/>
          <w:szCs w:val="28"/>
        </w:rPr>
        <w:t>grounds for relief.</w:t>
      </w:r>
    </w:p>
    <w:p w:rsidR="007376FC" w:rsidRPr="007376FC" w:rsidRDefault="007376FC" w:rsidP="007376FC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7376FC" w:rsidRPr="007376FC" w:rsidRDefault="007376FC" w:rsidP="007376FC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  <w:r w:rsidRPr="007376FC">
        <w:rPr>
          <w:rFonts w:ascii="TimesNewRoman" w:hAnsi="TimesNewRoman" w:cs="TimesNewRoman"/>
          <w:sz w:val="28"/>
          <w:szCs w:val="28"/>
        </w:rPr>
        <w:t>(b) Upon any motion for summary judgment pursuant to Bankruptcy Rule 7056, there</w:t>
      </w:r>
      <w:r w:rsidRPr="007376FC">
        <w:rPr>
          <w:rFonts w:ascii="TimesNewRoman" w:hAnsi="TimesNewRoman" w:cs="TimesNewRoman"/>
          <w:sz w:val="28"/>
          <w:szCs w:val="28"/>
        </w:rPr>
        <w:t xml:space="preserve"> </w:t>
      </w:r>
      <w:r w:rsidRPr="007376FC">
        <w:rPr>
          <w:rFonts w:ascii="TimesNewRoman" w:hAnsi="TimesNewRoman" w:cs="TimesNewRoman"/>
          <w:sz w:val="28"/>
          <w:szCs w:val="28"/>
        </w:rPr>
        <w:t>shall be annexed to the motion a separate, short, and concise statement, in numbered paragraphs, of the</w:t>
      </w:r>
      <w:r w:rsidRPr="007376FC">
        <w:rPr>
          <w:rFonts w:ascii="TimesNewRoman" w:hAnsi="TimesNewRoman" w:cs="TimesNewRoman"/>
          <w:sz w:val="28"/>
          <w:szCs w:val="28"/>
        </w:rPr>
        <w:t xml:space="preserve"> </w:t>
      </w:r>
      <w:r w:rsidRPr="007376FC">
        <w:rPr>
          <w:rFonts w:ascii="TimesNewRoman" w:hAnsi="TimesNewRoman" w:cs="TimesNewRoman"/>
          <w:sz w:val="28"/>
          <w:szCs w:val="28"/>
        </w:rPr>
        <w:t>material facts as to which the moving party contends there is no genuine issue to be tried. Failure to</w:t>
      </w:r>
      <w:r w:rsidRPr="007376FC">
        <w:rPr>
          <w:rFonts w:ascii="TimesNewRoman" w:hAnsi="TimesNewRoman" w:cs="TimesNewRoman"/>
          <w:sz w:val="28"/>
          <w:szCs w:val="28"/>
        </w:rPr>
        <w:t xml:space="preserve"> </w:t>
      </w:r>
      <w:r w:rsidRPr="007376FC">
        <w:rPr>
          <w:rFonts w:ascii="TimesNewRoman" w:hAnsi="TimesNewRoman" w:cs="TimesNewRoman"/>
          <w:sz w:val="28"/>
          <w:szCs w:val="28"/>
        </w:rPr>
        <w:t>submit the statement shall constitute grounds for denial of the motion.</w:t>
      </w:r>
    </w:p>
    <w:p w:rsidR="007376FC" w:rsidRPr="007376FC" w:rsidRDefault="007376FC" w:rsidP="007376FC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  <w:bookmarkStart w:id="0" w:name="_GoBack"/>
      <w:bookmarkEnd w:id="0"/>
    </w:p>
    <w:p w:rsidR="007376FC" w:rsidRPr="007376FC" w:rsidRDefault="007376FC" w:rsidP="007376FC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  <w:r w:rsidRPr="007376FC">
        <w:rPr>
          <w:rFonts w:ascii="TimesNewRoman" w:hAnsi="TimesNewRoman" w:cs="TimesNewRoman"/>
          <w:sz w:val="28"/>
          <w:szCs w:val="28"/>
        </w:rPr>
        <w:t>(c) Papers opposing a motion for summary judgment shall include a correspondingly</w:t>
      </w:r>
      <w:r w:rsidRPr="007376FC">
        <w:rPr>
          <w:rFonts w:ascii="TimesNewRoman" w:hAnsi="TimesNewRoman" w:cs="TimesNewRoman"/>
          <w:sz w:val="28"/>
          <w:szCs w:val="28"/>
        </w:rPr>
        <w:t xml:space="preserve"> </w:t>
      </w:r>
      <w:r w:rsidRPr="007376FC">
        <w:rPr>
          <w:rFonts w:ascii="TimesNewRoman" w:hAnsi="TimesNewRoman" w:cs="TimesNewRoman"/>
          <w:sz w:val="28"/>
          <w:szCs w:val="28"/>
        </w:rPr>
        <w:t>numbered paragraph responding to each numbered paragraph in the statement of the moving party, and if</w:t>
      </w:r>
      <w:r w:rsidRPr="007376FC">
        <w:rPr>
          <w:rFonts w:ascii="TimesNewRoman" w:hAnsi="TimesNewRoman" w:cs="TimesNewRoman"/>
          <w:sz w:val="28"/>
          <w:szCs w:val="28"/>
        </w:rPr>
        <w:t xml:space="preserve"> </w:t>
      </w:r>
      <w:r w:rsidRPr="007376FC">
        <w:rPr>
          <w:rFonts w:ascii="TimesNewRoman" w:hAnsi="TimesNewRoman" w:cs="TimesNewRoman"/>
          <w:sz w:val="28"/>
          <w:szCs w:val="28"/>
        </w:rPr>
        <w:t>necessary, additional paragraphs containing a separate, short, and concise statement of additional</w:t>
      </w:r>
      <w:r w:rsidRPr="007376FC">
        <w:rPr>
          <w:rFonts w:ascii="TimesNewRoman" w:hAnsi="TimesNewRoman" w:cs="TimesNewRoman"/>
          <w:sz w:val="28"/>
          <w:szCs w:val="28"/>
        </w:rPr>
        <w:t xml:space="preserve"> </w:t>
      </w:r>
      <w:r w:rsidRPr="007376FC">
        <w:rPr>
          <w:rFonts w:ascii="TimesNewRoman" w:hAnsi="TimesNewRoman" w:cs="TimesNewRoman"/>
          <w:sz w:val="28"/>
          <w:szCs w:val="28"/>
        </w:rPr>
        <w:t>material facts as to which it is contended that there is a genuine issue to be tried.</w:t>
      </w:r>
    </w:p>
    <w:p w:rsidR="007376FC" w:rsidRPr="007376FC" w:rsidRDefault="007376FC" w:rsidP="007376FC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7376FC" w:rsidRPr="007376FC" w:rsidRDefault="007376FC" w:rsidP="007376FC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  <w:r w:rsidRPr="007376FC">
        <w:rPr>
          <w:rFonts w:ascii="TimesNewRoman" w:hAnsi="TimesNewRoman" w:cs="TimesNewRoman"/>
          <w:sz w:val="28"/>
          <w:szCs w:val="28"/>
        </w:rPr>
        <w:t>(d) Each numbered paragraph in the statement of material facts required to be served</w:t>
      </w:r>
      <w:r w:rsidRPr="007376FC">
        <w:rPr>
          <w:rFonts w:ascii="TimesNewRoman" w:hAnsi="TimesNewRoman" w:cs="TimesNewRoman"/>
          <w:sz w:val="28"/>
          <w:szCs w:val="28"/>
        </w:rPr>
        <w:t xml:space="preserve"> </w:t>
      </w:r>
      <w:r w:rsidRPr="007376FC">
        <w:rPr>
          <w:rFonts w:ascii="TimesNewRoman" w:hAnsi="TimesNewRoman" w:cs="TimesNewRoman"/>
          <w:sz w:val="28"/>
          <w:szCs w:val="28"/>
        </w:rPr>
        <w:t>by the moving party shall be deemed admitted for purposes of the motion unless specifically</w:t>
      </w:r>
      <w:r w:rsidRPr="007376FC">
        <w:rPr>
          <w:rFonts w:ascii="TimesNewRoman" w:hAnsi="TimesNewRoman" w:cs="TimesNewRoman"/>
          <w:sz w:val="28"/>
          <w:szCs w:val="28"/>
        </w:rPr>
        <w:t xml:space="preserve"> </w:t>
      </w:r>
      <w:r w:rsidRPr="007376FC">
        <w:rPr>
          <w:rFonts w:ascii="TimesNewRoman" w:hAnsi="TimesNewRoman" w:cs="TimesNewRoman"/>
          <w:sz w:val="28"/>
          <w:szCs w:val="28"/>
        </w:rPr>
        <w:t>controverted by a correspondingly numbered paragraph in the statement required to be served by the</w:t>
      </w:r>
      <w:r w:rsidRPr="007376FC">
        <w:rPr>
          <w:rFonts w:ascii="TimesNewRoman" w:hAnsi="TimesNewRoman" w:cs="TimesNewRoman"/>
          <w:sz w:val="28"/>
          <w:szCs w:val="28"/>
        </w:rPr>
        <w:t xml:space="preserve"> </w:t>
      </w:r>
      <w:r w:rsidRPr="007376FC">
        <w:rPr>
          <w:rFonts w:ascii="TimesNewRoman" w:hAnsi="TimesNewRoman" w:cs="TimesNewRoman"/>
          <w:sz w:val="28"/>
          <w:szCs w:val="28"/>
        </w:rPr>
        <w:t>opposing party.</w:t>
      </w:r>
    </w:p>
    <w:p w:rsidR="007376FC" w:rsidRPr="007376FC" w:rsidRDefault="007376FC" w:rsidP="007376FC">
      <w:pPr>
        <w:widowControl w:val="0"/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B93ED4" w:rsidRPr="007376FC" w:rsidRDefault="007376FC" w:rsidP="007376FC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376FC">
        <w:rPr>
          <w:rFonts w:ascii="TimesNewRoman" w:hAnsi="TimesNewRoman" w:cs="TimesNewRoman"/>
          <w:sz w:val="28"/>
          <w:szCs w:val="28"/>
        </w:rPr>
        <w:t>(e) Each statement by the movant or opponent pursuant to subdivisions (b) or (c) of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7376FC">
        <w:rPr>
          <w:rFonts w:ascii="TimesNewRoman" w:hAnsi="TimesNewRoman" w:cs="TimesNewRoman"/>
          <w:sz w:val="28"/>
          <w:szCs w:val="28"/>
        </w:rPr>
        <w:t>this rule, including each statement controverting any statement of material fact by a movant or opponent,</w:t>
      </w:r>
      <w:r w:rsidRPr="007376FC">
        <w:rPr>
          <w:rFonts w:ascii="TimesNewRoman" w:hAnsi="TimesNewRoman" w:cs="TimesNewRoman"/>
          <w:sz w:val="28"/>
          <w:szCs w:val="28"/>
        </w:rPr>
        <w:t xml:space="preserve"> </w:t>
      </w:r>
      <w:r w:rsidRPr="007376FC">
        <w:rPr>
          <w:rFonts w:ascii="TimesNewRoman" w:hAnsi="TimesNewRoman" w:cs="TimesNewRoman"/>
          <w:sz w:val="28"/>
          <w:szCs w:val="28"/>
        </w:rPr>
        <w:t>shall be followed by citation to evidence which would be admissible.</w:t>
      </w:r>
    </w:p>
    <w:sectPr w:rsidR="00B93ED4" w:rsidRPr="007376FC" w:rsidSect="008C17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New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6FC"/>
    <w:rsid w:val="007376FC"/>
    <w:rsid w:val="008C1746"/>
    <w:rsid w:val="00B93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BAB4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257</Words>
  <Characters>1470</Characters>
  <Application>Microsoft Macintosh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A. Cox</dc:creator>
  <cp:keywords/>
  <dc:description/>
  <cp:lastModifiedBy>Thomas A. Cox</cp:lastModifiedBy>
  <cp:revision>1</cp:revision>
  <dcterms:created xsi:type="dcterms:W3CDTF">2011-09-29T01:16:00Z</dcterms:created>
  <dcterms:modified xsi:type="dcterms:W3CDTF">2011-09-29T01:24:00Z</dcterms:modified>
</cp:coreProperties>
</file>